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after="80" w:line="320" w:lineRule="atLeast"/>
      </w:pPr>
      <w:r>
        <w:rPr>
          <w:rFonts w:ascii="Times New Roman" w:hAnsi="Times New Roman"/>
          <w:b w:val="1"/>
          <w:bCs w:val="1"/>
          <w:outline w:val="0"/>
          <w:color w:val="000000"/>
          <w:sz w:val="20"/>
          <w:szCs w:val="20"/>
          <w:u w:color="000000"/>
          <w14:textFill>
            <w14:solidFill>
              <w14:srgbClr w14:val="000000"/>
            </w14:solidFill>
          </w14:textFill>
        </w:rPr>
        <mc:AlternateContent>
          <mc:Choice Requires="wpg">
            <w:drawing xmlns:a="http://schemas.openxmlformats.org/drawingml/2006/main">
              <wp:inline distT="0" distB="0" distL="0" distR="0">
                <wp:extent cx="1607820" cy="975360"/>
                <wp:effectExtent l="0" t="0" r="0" b="0"/>
                <wp:docPr id="1073741827" name="officeArt object" descr="Slika 1"/>
                <wp:cNvGraphicFramePr/>
                <a:graphic xmlns:a="http://schemas.openxmlformats.org/drawingml/2006/main">
                  <a:graphicData uri="http://schemas.microsoft.com/office/word/2010/wordprocessingGroup">
                    <wpg:wgp>
                      <wpg:cNvGrpSpPr/>
                      <wpg:grpSpPr>
                        <a:xfrm>
                          <a:off x="0" y="0"/>
                          <a:ext cx="1607820" cy="975360"/>
                          <a:chOff x="0" y="0"/>
                          <a:chExt cx="1607819" cy="975359"/>
                        </a:xfrm>
                      </wpg:grpSpPr>
                      <wps:wsp>
                        <wps:cNvPr id="1073741825" name="Rectangle"/>
                        <wps:cNvSpPr/>
                        <wps:spPr>
                          <a:xfrm>
                            <a:off x="0" y="0"/>
                            <a:ext cx="1607820" cy="975360"/>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26" name="image1.jpeg" descr="image1.jpeg"/>
                          <pic:cNvPicPr>
                            <a:picLocks noChangeAspect="1"/>
                          </pic:cNvPicPr>
                        </pic:nvPicPr>
                        <pic:blipFill>
                          <a:blip r:embed="rId4">
                            <a:extLst/>
                          </a:blip>
                          <a:srcRect l="0" t="0" r="0" b="0"/>
                          <a:stretch>
                            <a:fillRect/>
                          </a:stretch>
                        </pic:blipFill>
                        <pic:spPr>
                          <a:xfrm>
                            <a:off x="465" y="477"/>
                            <a:ext cx="1606889" cy="974406"/>
                          </a:xfrm>
                          <a:prstGeom prst="rect">
                            <a:avLst/>
                          </a:prstGeom>
                          <a:ln w="12700" cap="flat">
                            <a:noFill/>
                            <a:miter lim="400000"/>
                          </a:ln>
                          <a:effectLst/>
                        </pic:spPr>
                      </pic:pic>
                    </wpg:wgp>
                  </a:graphicData>
                </a:graphic>
              </wp:inline>
            </w:drawing>
          </mc:Choice>
          <mc:Fallback>
            <w:pict>
              <v:group id="_x0000_s1026" style="visibility:visible;width:126.6pt;height:76.8pt;" coordorigin="0,0" coordsize="1607820,975360">
                <v:rect id="_x0000_s1027" style="position:absolute;left:0;top:0;width:1607820;height:975360;">
                  <v:fill color="#FFFFFF" opacity="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466;top:478;width:1606888;height:974405;">
                  <v:imagedata r:id="rId4" o:title="image1.jpeg"/>
                </v:shape>
              </v:group>
            </w:pict>
          </mc:Fallback>
        </mc:AlternateContent>
      </w:r>
      <w:r>
        <w:rPr>
          <w:rFonts w:ascii="Times New Roman" w:hAnsi="Times New Roman"/>
          <w:sz w:val="20"/>
          <w:szCs w:val="20"/>
        </w:rPr>
        <w:br w:type="textWrapping"/>
      </w:r>
      <w:r>
        <w:rPr>
          <w:rFonts w:ascii="Times New Roman" w:hAnsi="Times New Roman"/>
          <w:sz w:val="20"/>
          <w:szCs w:val="20"/>
          <w:rtl w:val="0"/>
          <w:lang w:val="en-US"/>
        </w:rPr>
        <w:t>Kotnikova ulica 28, 1000 Ljubljana, Slovenia</w:t>
      </w:r>
      <w:r>
        <w:rPr>
          <w:rFonts w:ascii="Times New Roman" w:cs="Times New Roman" w:hAnsi="Times New Roman" w:eastAsia="Times New Roman"/>
          <w:sz w:val="20"/>
          <w:szCs w:val="20"/>
        </w:rPr>
        <w:br w:type="textWrapping"/>
      </w:r>
      <w:r>
        <w:rPr>
          <w:rStyle w:val="Hyperlink.0"/>
        </w:rPr>
        <w:fldChar w:fldCharType="begin" w:fldLock="0"/>
      </w:r>
      <w:r>
        <w:rPr>
          <w:rStyle w:val="Hyperlink.0"/>
        </w:rPr>
        <w:instrText xml:space="preserve"> HYPERLINK "http://www.ipal.si/"</w:instrText>
      </w:r>
      <w:r>
        <w:rPr>
          <w:rStyle w:val="Hyperlink.0"/>
        </w:rPr>
        <w:fldChar w:fldCharType="separate" w:fldLock="0"/>
      </w:r>
      <w:r>
        <w:rPr>
          <w:rStyle w:val="Hyperlink.0"/>
          <w:rtl w:val="0"/>
          <w:lang w:val="en-US"/>
        </w:rPr>
        <w:t>www.ipal.si</w:t>
      </w:r>
      <w:r>
        <w:rPr/>
        <w:fldChar w:fldCharType="end" w:fldLock="0"/>
      </w:r>
      <w:r>
        <w:rPr>
          <w:rFonts w:ascii="Times New Roman" w:hAnsi="Times New Roman"/>
          <w:sz w:val="20"/>
          <w:szCs w:val="20"/>
          <w:rtl w:val="0"/>
          <w:lang w:val="en-US"/>
        </w:rPr>
        <w:t xml:space="preserve"> </w:t>
        <w:br w:type="textWrapping"/>
        <w:br w:type="textWrapping"/>
      </w:r>
      <w:r>
        <w:rPr>
          <w:rFonts w:ascii="Times New Roman" w:hAnsi="Times New Roman"/>
          <w:b w:val="1"/>
          <w:bCs w:val="1"/>
          <w:outline w:val="0"/>
          <w:color w:val="000000"/>
          <w:sz w:val="20"/>
          <w:szCs w:val="20"/>
          <w:u w:color="000000"/>
          <w:rtl w:val="0"/>
          <w:lang w:val="en-US"/>
          <w14:textFill>
            <w14:solidFill>
              <w14:srgbClr w14:val="000000"/>
            </w14:solidFill>
          </w14:textFill>
        </w:rPr>
        <w:t>General information on the International Introductory Group</w:t>
      </w:r>
      <w:r>
        <w:rPr>
          <w:rFonts w:ascii="Times New Roman" w:hAnsi="Times New Roman"/>
          <w:outline w:val="0"/>
          <w:color w:val="000000"/>
          <w:sz w:val="20"/>
          <w:szCs w:val="20"/>
          <w:u w:color="000000"/>
          <w:rtl w:val="0"/>
          <w:lang w:val="en-US"/>
          <w14:textFill>
            <w14:solidFill>
              <w14:srgbClr w14:val="000000"/>
            </w14:solidFill>
          </w14:textFill>
        </w:rPr>
        <w:t xml:space="preserve"> </w:t>
      </w:r>
      <w:r>
        <w:rPr>
          <w:rFonts w:ascii="Times New Roman" w:hAnsi="Times New Roman"/>
          <w:b w:val="1"/>
          <w:bCs w:val="1"/>
          <w:outline w:val="0"/>
          <w:color w:val="000000"/>
          <w:sz w:val="20"/>
          <w:szCs w:val="20"/>
          <w:u w:color="000000"/>
          <w:rtl w:val="0"/>
          <w:lang w:val="en-US"/>
          <w14:textFill>
            <w14:solidFill>
              <w14:srgbClr w14:val="000000"/>
            </w14:solidFill>
          </w14:textFill>
        </w:rPr>
        <w:t>of the IPAL Institute</w:t>
      </w:r>
      <w:r>
        <w:rPr>
          <w:rFonts w:ascii="Times New Roman" w:hAnsi="Times New Roman"/>
          <w:sz w:val="20"/>
          <w:szCs w:val="20"/>
          <w:rtl w:val="0"/>
          <w:lang w:val="en-US"/>
        </w:rPr>
        <w:t xml:space="preserve"> (small group)</w:t>
      </w:r>
      <w:r>
        <w:rPr>
          <w:rFonts w:ascii="Times New Roman" w:cs="Times New Roman" w:hAnsi="Times New Roman" w:eastAsia="Times New Roman"/>
          <w:sz w:val="20"/>
          <w:szCs w:val="20"/>
        </w:rPr>
        <w:br w:type="textWrapping"/>
        <w:br w:type="textWrapping"/>
      </w:r>
      <w:r>
        <w:rPr>
          <w:rFonts w:ascii="Times New Roman" w:hAnsi="Times New Roman"/>
          <w:sz w:val="20"/>
          <w:szCs w:val="20"/>
          <w:rtl w:val="0"/>
          <w:lang w:val="en-US"/>
        </w:rPr>
        <w:t>The international introductory group uses the IPAL Method which is primarily aimed at getting to know oneself more comprehensively, as well as facilitating the attainment of one</w:t>
      </w:r>
      <w:r>
        <w:rPr>
          <w:rFonts w:ascii="Times New Roman" w:hAnsi="Times New Roman" w:hint="default"/>
          <w:sz w:val="20"/>
          <w:szCs w:val="20"/>
          <w:rtl w:val="0"/>
          <w:lang w:val="en-US"/>
        </w:rPr>
        <w:t>’</w:t>
      </w:r>
      <w:r>
        <w:rPr>
          <w:rFonts w:ascii="Times New Roman" w:hAnsi="Times New Roman"/>
          <w:sz w:val="20"/>
          <w:szCs w:val="20"/>
          <w:rtl w:val="0"/>
          <w:lang w:val="en-US"/>
        </w:rPr>
        <w:t>s life goals, and improving the overall quality of one</w:t>
      </w:r>
      <w:r>
        <w:rPr>
          <w:rFonts w:ascii="Times New Roman" w:hAnsi="Times New Roman" w:hint="default"/>
          <w:sz w:val="20"/>
          <w:szCs w:val="20"/>
          <w:rtl w:val="0"/>
          <w:lang w:val="en-US"/>
        </w:rPr>
        <w:t>’</w:t>
      </w:r>
      <w:r>
        <w:rPr>
          <w:rFonts w:ascii="Times New Roman" w:hAnsi="Times New Roman"/>
          <w:sz w:val="20"/>
          <w:szCs w:val="20"/>
          <w:rtl w:val="0"/>
          <w:lang w:val="en-US"/>
        </w:rPr>
        <w:t>s life. The IPAL Method helps us understand the significance of what is happening to us and discover what our actual needs are by identifying the underlying inner and outer conflicts in our lives, finding ways to resolve them, and harnessing this knowledge for our further growth, development and transformation.</w:t>
      </w:r>
      <w:r>
        <w:rPr>
          <w:rFonts w:ascii="Times New Roman" w:cs="Times New Roman" w:hAnsi="Times New Roman" w:eastAsia="Times New Roman"/>
          <w:sz w:val="20"/>
          <w:szCs w:val="20"/>
        </w:rPr>
        <w:br w:type="textWrapping"/>
        <w:br w:type="textWrapping"/>
      </w:r>
      <w:r>
        <w:rPr>
          <w:rFonts w:ascii="Times New Roman" w:hAnsi="Times New Roman"/>
          <w:sz w:val="20"/>
          <w:szCs w:val="20"/>
          <w:rtl w:val="0"/>
          <w:lang w:val="en-US"/>
        </w:rPr>
        <w:t xml:space="preserve">For that purpose, we delve into the basic theoretical building blocks of symbolic cosmology, psychodynamics and psychoanalysis. Symbolic cosmology </w:t>
      </w:r>
      <w:r>
        <w:rPr>
          <w:rFonts w:ascii="Times New Roman" w:hAnsi="Times New Roman"/>
          <w:sz w:val="20"/>
          <w:szCs w:val="20"/>
          <w:rtl w:val="0"/>
          <w:lang w:val="en-US"/>
        </w:rPr>
        <w:t xml:space="preserve">(in its cogitological form) </w:t>
      </w:r>
      <w:r>
        <w:rPr>
          <w:rFonts w:ascii="Times New Roman" w:hAnsi="Times New Roman"/>
          <w:sz w:val="20"/>
          <w:szCs w:val="20"/>
          <w:rtl w:val="0"/>
          <w:lang w:val="en-US"/>
        </w:rPr>
        <w:t>and psychoanalysis help us gain important insights into the workings of our own psyche, offer support in times of crisis, and reveal the meaning of some of life's most demanding challenges. This allows us to deal with everyday circumstances more easily, smoothly and quickly. The exploration of cosmological symbolism and our own thinking processes also helps us develop our intuition and personality.</w:t>
      </w:r>
      <w:r>
        <w:rPr>
          <w:rFonts w:ascii="Times New Roman" w:hAnsi="Times New Roman" w:hint="default"/>
          <w:sz w:val="20"/>
          <w:szCs w:val="20"/>
          <w:rtl w:val="0"/>
          <w:lang w:val="en-US"/>
        </w:rPr>
        <w:t xml:space="preserve">  </w:t>
        <w:br w:type="textWrapping"/>
        <w:br w:type="textWrapping"/>
      </w:r>
      <w:r>
        <w:rPr>
          <w:rFonts w:ascii="Times New Roman" w:hAnsi="Times New Roman"/>
          <w:sz w:val="20"/>
          <w:szCs w:val="20"/>
          <w:rtl w:val="0"/>
          <w:lang w:val="en-US"/>
        </w:rPr>
        <w:t>IPAL</w:t>
      </w:r>
      <w:r>
        <w:rPr>
          <w:rFonts w:ascii="Times New Roman" w:hAnsi="Times New Roman" w:hint="default"/>
          <w:sz w:val="20"/>
          <w:szCs w:val="20"/>
          <w:rtl w:val="0"/>
          <w:lang w:val="en-US"/>
        </w:rPr>
        <w:t>’</w:t>
      </w:r>
      <w:r>
        <w:rPr>
          <w:rFonts w:ascii="Times New Roman" w:hAnsi="Times New Roman"/>
          <w:sz w:val="20"/>
          <w:szCs w:val="20"/>
          <w:rtl w:val="0"/>
          <w:lang w:val="en-US"/>
        </w:rPr>
        <w:t>s introductory group uses an experiential approach. The work is based on one</w:t>
      </w:r>
      <w:r>
        <w:rPr>
          <w:rFonts w:ascii="Times New Roman" w:hAnsi="Times New Roman" w:hint="default"/>
          <w:sz w:val="20"/>
          <w:szCs w:val="20"/>
          <w:rtl w:val="0"/>
          <w:lang w:val="en-US"/>
        </w:rPr>
        <w:t>’</w:t>
      </w:r>
      <w:r>
        <w:rPr>
          <w:rFonts w:ascii="Times New Roman" w:hAnsi="Times New Roman"/>
          <w:sz w:val="20"/>
          <w:szCs w:val="20"/>
          <w:rtl w:val="0"/>
          <w:lang w:val="en-US"/>
        </w:rPr>
        <w:t>s birth cosmogram which is then related to one</w:t>
      </w:r>
      <w:r>
        <w:rPr>
          <w:rFonts w:ascii="Times New Roman" w:hAnsi="Times New Roman" w:hint="default"/>
          <w:sz w:val="20"/>
          <w:szCs w:val="20"/>
          <w:rtl w:val="0"/>
          <w:lang w:val="en-US"/>
        </w:rPr>
        <w:t>’</w:t>
      </w:r>
      <w:r>
        <w:rPr>
          <w:rFonts w:ascii="Times New Roman" w:hAnsi="Times New Roman"/>
          <w:sz w:val="20"/>
          <w:szCs w:val="20"/>
          <w:rtl w:val="0"/>
          <w:lang w:val="en-US"/>
        </w:rPr>
        <w:t xml:space="preserve">s personal life experiences. We use the techniques of active imagination (meditation) and dream analysis, while the participants are encouraged to engage and interact with their own psychological contents. Over 12 months, students also acquire basic theoretical knowledge of symbolic cosmology (symbolism and the psychodynamics of the planets, </w:t>
      </w:r>
      <w:r>
        <w:rPr>
          <w:rFonts w:ascii="Times New Roman" w:hAnsi="Times New Roman"/>
          <w:sz w:val="20"/>
          <w:szCs w:val="20"/>
          <w:rtl w:val="0"/>
          <w:lang w:val="en-US"/>
        </w:rPr>
        <w:t>zodiac</w:t>
      </w:r>
      <w:r>
        <w:rPr>
          <w:rFonts w:ascii="Times New Roman" w:hAnsi="Times New Roman"/>
          <w:sz w:val="20"/>
          <w:szCs w:val="20"/>
          <w:rtl w:val="0"/>
          <w:lang w:val="en-US"/>
        </w:rPr>
        <w:t xml:space="preserve"> signs, </w:t>
      </w:r>
      <w:r>
        <w:rPr>
          <w:rFonts w:ascii="Times New Roman" w:hAnsi="Times New Roman"/>
          <w:sz w:val="20"/>
          <w:szCs w:val="20"/>
          <w:rtl w:val="0"/>
          <w:lang w:val="en-US"/>
        </w:rPr>
        <w:t>cosmological</w:t>
      </w:r>
      <w:r>
        <w:rPr>
          <w:rFonts w:ascii="Times New Roman" w:hAnsi="Times New Roman"/>
          <w:sz w:val="20"/>
          <w:szCs w:val="20"/>
          <w:rtl w:val="0"/>
          <w:lang w:val="en-US"/>
        </w:rPr>
        <w:t xml:space="preserve"> houses, aspects, transits and progressions) as well as C. G. Jung's analytical psychology. The group meets once a week for 2</w:t>
      </w:r>
      <w:r>
        <w:rPr>
          <w:rFonts w:ascii="Times New Roman" w:hAnsi="Times New Roman" w:hint="default"/>
          <w:sz w:val="20"/>
          <w:szCs w:val="20"/>
          <w:rtl w:val="0"/>
          <w:lang w:val="en-US"/>
        </w:rPr>
        <w:t>–</w:t>
      </w:r>
      <w:r>
        <w:rPr>
          <w:rFonts w:ascii="Times New Roman" w:hAnsi="Times New Roman"/>
          <w:sz w:val="20"/>
          <w:szCs w:val="20"/>
          <w:rtl w:val="0"/>
          <w:lang w:val="en-US"/>
        </w:rPr>
        <w:t>4 hours, depending on the group</w:t>
      </w:r>
      <w:r>
        <w:rPr>
          <w:rFonts w:ascii="Times New Roman" w:hAnsi="Times New Roman" w:hint="default"/>
          <w:sz w:val="20"/>
          <w:szCs w:val="20"/>
          <w:rtl w:val="0"/>
          <w:lang w:val="en-US"/>
        </w:rPr>
        <w:t>’</w:t>
      </w:r>
      <w:r>
        <w:rPr>
          <w:rFonts w:ascii="Times New Roman" w:hAnsi="Times New Roman"/>
          <w:sz w:val="20"/>
          <w:szCs w:val="20"/>
          <w:rtl w:val="0"/>
          <w:lang w:val="en-US"/>
        </w:rPr>
        <w:t>s size. Due to the nature of the work and to protect the participants</w:t>
      </w:r>
      <w:r>
        <w:rPr>
          <w:rFonts w:ascii="Times New Roman" w:hAnsi="Times New Roman" w:hint="default"/>
          <w:sz w:val="20"/>
          <w:szCs w:val="20"/>
          <w:rtl w:val="0"/>
          <w:lang w:val="en-US"/>
        </w:rPr>
        <w:t xml:space="preserve">’ </w:t>
      </w:r>
      <w:r>
        <w:rPr>
          <w:rFonts w:ascii="Times New Roman" w:hAnsi="Times New Roman"/>
          <w:sz w:val="20"/>
          <w:szCs w:val="20"/>
          <w:rtl w:val="0"/>
          <w:lang w:val="en-US"/>
        </w:rPr>
        <w:t>privacy, recording is not allowed in the introductory group.</w:t>
      </w:r>
      <w:r>
        <w:rPr>
          <w:rFonts w:ascii="Times New Roman" w:cs="Times New Roman" w:hAnsi="Times New Roman" w:eastAsia="Times New Roman"/>
          <w:sz w:val="20"/>
          <w:szCs w:val="20"/>
        </w:rPr>
        <w:br w:type="textWrapping"/>
        <w:br w:type="textWrapping"/>
      </w:r>
      <w:r>
        <w:rPr>
          <w:rFonts w:ascii="Times New Roman" w:hAnsi="Times New Roman"/>
          <w:sz w:val="20"/>
          <w:szCs w:val="20"/>
          <w:rtl w:val="0"/>
          <w:lang w:val="en-US"/>
        </w:rPr>
        <w:t>The students are also required to attend at least four diploma-level seminars of their choice. Students unable to attend a seminar for which they had registered should notify IPAL at least 3 days prior to the start of the seminar.</w:t>
      </w:r>
      <w:r>
        <w:rPr>
          <w:rFonts w:ascii="Times New Roman" w:cs="Times New Roman" w:hAnsi="Times New Roman" w:eastAsia="Times New Roman"/>
          <w:sz w:val="20"/>
          <w:szCs w:val="20"/>
          <w:rtl w:val="0"/>
        </w:rPr>
        <w:br w:type="textWrapping"/>
        <w:t> </w:t>
        <w:br w:type="textWrapping"/>
      </w:r>
      <w:r>
        <w:rPr>
          <w:rFonts w:ascii="Times New Roman" w:hAnsi="Times New Roman"/>
          <w:sz w:val="20"/>
          <w:szCs w:val="20"/>
          <w:rtl w:val="0"/>
          <w:lang w:val="en-US"/>
        </w:rPr>
        <w:t xml:space="preserve">If at the completion of the course, a student is no more than two seminars short of the prescribed number of seminars, they may absolve them by handing out an essay on the basis of a recording of the seminar that will be provided to them. </w:t>
      </w:r>
      <w:r>
        <w:rPr>
          <w:rFonts w:ascii="Times New Roman" w:cs="Times New Roman" w:hAnsi="Times New Roman" w:eastAsia="Times New Roman"/>
          <w:sz w:val="20"/>
          <w:szCs w:val="20"/>
          <w:rtl w:val="0"/>
        </w:rPr>
        <w:br w:type="textWrapping"/>
        <w:t> </w:t>
        <w:br w:type="textWrapping"/>
      </w:r>
      <w:r>
        <w:rPr>
          <w:rFonts w:ascii="Times New Roman" w:hAnsi="Times New Roman"/>
          <w:sz w:val="20"/>
          <w:szCs w:val="20"/>
          <w:rtl w:val="0"/>
          <w:lang w:val="en-US"/>
        </w:rPr>
        <w:t>Work in the introductory group is completed by taking an exam if the student fulfils all requirements. Those who pass the exam receive an Attestation of Having Completed the Introductory Group of the IPAL Institute. This is a precondition for enrolling in the IPAL Institute</w:t>
      </w:r>
      <w:r>
        <w:rPr>
          <w:rFonts w:ascii="Times New Roman" w:hAnsi="Times New Roman" w:hint="default"/>
          <w:sz w:val="20"/>
          <w:szCs w:val="20"/>
          <w:rtl w:val="0"/>
          <w:lang w:val="en-US"/>
        </w:rPr>
        <w:t>’</w:t>
      </w:r>
      <w:r>
        <w:rPr>
          <w:rFonts w:ascii="Times New Roman" w:hAnsi="Times New Roman"/>
          <w:sz w:val="20"/>
          <w:szCs w:val="20"/>
          <w:rtl w:val="0"/>
          <w:lang w:val="en-US"/>
        </w:rPr>
        <w:t>s diploma training programme.</w:t>
      </w:r>
    </w:p>
    <w:sectPr>
      <w:headerReference w:type="default" r:id="rId5"/>
      <w:footerReference w:type="default" r:id="rId6"/>
      <w:pgSz w:w="11900" w:h="16840" w:orient="portrait"/>
      <w:pgMar w:top="1134"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character" w:styleId="Link">
    <w:name w:val="Link"/>
    <w:rPr>
      <w:outline w:val="0"/>
      <w:color w:val="467886"/>
      <w:u w:val="single" w:color="467886"/>
      <w14:textFill>
        <w14:solidFill>
          <w14:srgbClr w14:val="467886"/>
        </w14:solidFill>
      </w14:textFill>
    </w:rPr>
  </w:style>
  <w:style w:type="character" w:styleId="Hyperlink.0">
    <w:name w:val="Hyperlink.0"/>
    <w:basedOn w:val="Link"/>
    <w:next w:val="Hyperlink.0"/>
    <w:rPr>
      <w:rFonts w:ascii="Times New Roman" w:cs="Times New Roman" w:hAnsi="Times New Roman" w:eastAsia="Times New Roman"/>
      <w:sz w:val="20"/>
      <w:szCs w:val="20"/>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