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avaden"/>
        <w:jc w:val="center"/>
        <w:rPr>
          <w:lang w:val="en-US"/>
        </w:rPr>
      </w:pPr>
    </w:p>
    <w:p>
      <w:pPr>
        <w:pStyle w:val="Navaden"/>
        <w:jc w:val="center"/>
        <w:rPr>
          <w:lang w:val="en-US"/>
        </w:rPr>
      </w:pPr>
      <w:r>
        <w:rPr>
          <w:lang w:val="en-US"/>
        </w:rPr>
        <mc:AlternateContent>
          <mc:Choice Requires="wpg">
            <w:drawing xmlns:a="http://schemas.openxmlformats.org/drawingml/2006/main">
              <wp:inline distT="0" distB="0" distL="0" distR="0">
                <wp:extent cx="1607820" cy="975360"/>
                <wp:effectExtent l="0" t="0" r="0" b="0"/>
                <wp:docPr id="1073741827" name="officeArt object" descr="Slika 1"/>
                <wp:cNvGraphicFramePr/>
                <a:graphic xmlns:a="http://schemas.openxmlformats.org/drawingml/2006/main">
                  <a:graphicData uri="http://schemas.microsoft.com/office/word/2010/wordprocessingGroup">
                    <wpg:wgp>
                      <wpg:cNvGrpSpPr/>
                      <wpg:grpSpPr>
                        <a:xfrm>
                          <a:off x="0" y="0"/>
                          <a:ext cx="1607820" cy="975360"/>
                          <a:chOff x="0" y="0"/>
                          <a:chExt cx="1607819" cy="975359"/>
                        </a:xfrm>
                      </wpg:grpSpPr>
                      <wps:wsp>
                        <wps:cNvPr id="1073741825" name="Rectangle"/>
                        <wps:cNvSpPr/>
                        <wps:spPr>
                          <a:xfrm>
                            <a:off x="0" y="0"/>
                            <a:ext cx="1607820" cy="975360"/>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rcRect l="0" t="0" r="0" b="0"/>
                          <a:stretch>
                            <a:fillRect/>
                          </a:stretch>
                        </pic:blipFill>
                        <pic:spPr>
                          <a:xfrm>
                            <a:off x="465" y="477"/>
                            <a:ext cx="1606889" cy="974406"/>
                          </a:xfrm>
                          <a:prstGeom prst="rect">
                            <a:avLst/>
                          </a:prstGeom>
                          <a:ln w="12700" cap="flat">
                            <a:noFill/>
                            <a:miter lim="400000"/>
                          </a:ln>
                          <a:effectLst/>
                        </pic:spPr>
                      </pic:pic>
                    </wpg:wgp>
                  </a:graphicData>
                </a:graphic>
              </wp:inline>
            </w:drawing>
          </mc:Choice>
          <mc:Fallback>
            <w:pict>
              <v:group id="_x0000_s1026" style="visibility:visible;width:126.6pt;height:76.8pt;" coordorigin="0,0" coordsize="1607820,975360">
                <v:rect id="_x0000_s1027" style="position:absolute;left:0;top:0;width:1607820;height:975360;">
                  <v:fill color="#FFFFFF" opacity="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466;top:478;width:1606888;height:974405;">
                  <v:imagedata r:id="rId4" o:title="image1.jpeg"/>
                </v:shape>
              </v:group>
            </w:pict>
          </mc:Fallback>
        </mc:AlternateContent>
      </w:r>
    </w:p>
    <w:p>
      <w:pPr>
        <w:pStyle w:val="Navaden"/>
        <w:jc w:val="center"/>
        <w:rPr>
          <w:lang w:val="en-US"/>
        </w:rPr>
      </w:pPr>
    </w:p>
    <w:p>
      <w:pPr>
        <w:pStyle w:val="Navaden"/>
        <w:jc w:val="center"/>
        <w:rPr>
          <w:lang w:val="en-US"/>
        </w:rPr>
      </w:pPr>
    </w:p>
    <w:p>
      <w:pPr>
        <w:pStyle w:val="Navaden"/>
        <w:jc w:val="center"/>
        <w:rPr>
          <w:lang w:val="en-US"/>
        </w:rPr>
      </w:pPr>
    </w:p>
    <w:p>
      <w:pPr>
        <w:pStyle w:val="Navaden"/>
        <w:jc w:val="center"/>
        <w:rPr>
          <w:lang w:val="en-US"/>
        </w:rPr>
      </w:pPr>
      <w:r>
        <w:rPr>
          <w:rtl w:val="0"/>
          <w:lang w:val="en-US"/>
        </w:rPr>
        <w:t>The IPAL Method* International Introductory Group</w:t>
      </w:r>
    </w:p>
    <w:p>
      <w:pPr>
        <w:pStyle w:val="Navaden"/>
        <w:jc w:val="center"/>
        <w:rPr>
          <w:lang w:val="en-US"/>
        </w:rPr>
      </w:pPr>
      <w:r>
        <w:rPr>
          <w:rtl w:val="0"/>
          <w:lang w:val="en-US"/>
        </w:rPr>
        <w:t>Programme</w:t>
      </w:r>
    </w:p>
    <w:p>
      <w:pPr>
        <w:pStyle w:val="Navaden"/>
        <w:rPr>
          <w:lang w:val="en-US"/>
        </w:rPr>
      </w:pPr>
    </w:p>
    <w:p>
      <w:pPr>
        <w:pStyle w:val="Navaden"/>
        <w:rPr>
          <w:lang w:val="en-US"/>
        </w:rPr>
      </w:pPr>
    </w:p>
    <w:tbl>
      <w:tblPr>
        <w:tblW w:w="977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76"/>
        <w:gridCol w:w="5520"/>
        <w:gridCol w:w="1882"/>
      </w:tblGrid>
      <w:tr>
        <w:tblPrEx>
          <w:shd w:val="clear" w:color="auto" w:fill="ced7e7"/>
        </w:tblPrEx>
        <w:trPr>
          <w:trHeight w:val="5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1</w:t>
            </w:r>
            <w:r>
              <w:rPr>
                <w:shd w:val="nil" w:color="auto" w:fill="auto"/>
                <w:vertAlign w:val="superscript"/>
                <w:rtl w:val="0"/>
                <w:lang w:val="en-US"/>
              </w:rPr>
              <w:t>st</w:t>
            </w:r>
            <w:r>
              <w:rPr>
                <w:shd w:val="nil" w:color="auto" w:fill="auto"/>
                <w:rtl w:val="0"/>
                <w:lang w:val="en-US"/>
              </w:rPr>
              <w:t xml:space="preserve"> to 11</w:t>
            </w:r>
            <w:r>
              <w:rPr>
                <w:shd w:val="nil" w:color="auto" w:fill="auto"/>
                <w:vertAlign w:val="superscript"/>
                <w:rtl w:val="0"/>
                <w:lang w:val="en-US"/>
              </w:rPr>
              <w:t>th</w:t>
            </w:r>
            <w:r>
              <w:rPr>
                <w:shd w:val="nil" w:color="auto" w:fill="auto"/>
                <w:rtl w:val="0"/>
                <w:lang w:val="en-US"/>
              </w:rPr>
              <w:t xml:space="preserve"> meeting</w:t>
            </w:r>
          </w:p>
        </w:tc>
        <w:tc>
          <w:tcPr>
            <w:tcW w:type="dxa" w:w="5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4"/>
              <w:bottom w:type="dxa" w:w="80"/>
              <w:right w:type="dxa" w:w="80"/>
            </w:tcMar>
            <w:vAlign w:val="top"/>
          </w:tcPr>
          <w:p>
            <w:pPr>
              <w:pStyle w:val="Navaden"/>
              <w:ind w:left="14" w:firstLine="0"/>
            </w:pPr>
            <w:r>
              <w:rPr>
                <w:shd w:val="nil" w:color="auto" w:fill="auto"/>
                <w:rtl w:val="0"/>
                <w:lang w:val="en-US"/>
              </w:rPr>
              <w:t>Planetary archetypes and their basic psychodynamic dimensions</w:t>
            </w:r>
          </w:p>
        </w:tc>
        <w:tc>
          <w:tcPr>
            <w:tcW w:type="dxa" w:w="18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 xml:space="preserve">44 hours** </w:t>
            </w:r>
            <w:r>
              <w:rPr>
                <w:shd w:val="nil" w:color="auto" w:fill="auto"/>
              </w:rPr>
            </w:r>
          </w:p>
        </w:tc>
      </w:tr>
      <w:tr>
        <w:tblPrEx>
          <w:shd w:val="clear" w:color="auto" w:fill="ced7e7"/>
        </w:tblPrEx>
        <w:trPr>
          <w:trHeight w:val="2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12</w:t>
            </w:r>
            <w:r>
              <w:rPr>
                <w:shd w:val="nil" w:color="auto" w:fill="auto"/>
                <w:vertAlign w:val="superscript"/>
                <w:rtl w:val="0"/>
                <w:lang w:val="en-US"/>
              </w:rPr>
              <w:t>th</w:t>
            </w:r>
            <w:r>
              <w:rPr>
                <w:shd w:val="nil" w:color="auto" w:fill="auto"/>
                <w:rtl w:val="0"/>
                <w:lang w:val="en-US"/>
              </w:rPr>
              <w:t xml:space="preserve"> to 23</w:t>
            </w:r>
            <w:r>
              <w:rPr>
                <w:shd w:val="nil" w:color="auto" w:fill="auto"/>
                <w:vertAlign w:val="superscript"/>
                <w:rtl w:val="0"/>
                <w:lang w:val="en-US"/>
              </w:rPr>
              <w:t>rd</w:t>
            </w:r>
            <w:r>
              <w:rPr>
                <w:shd w:val="nil" w:color="auto" w:fill="auto"/>
                <w:rtl w:val="0"/>
                <w:lang w:val="en-US"/>
              </w:rPr>
              <w:t xml:space="preserve"> meeting</w:t>
            </w:r>
          </w:p>
        </w:tc>
        <w:tc>
          <w:tcPr>
            <w:tcW w:type="dxa" w:w="5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 xml:space="preserve">Zodiac archetypes and the 12 psychological types                  </w:t>
            </w:r>
          </w:p>
        </w:tc>
        <w:tc>
          <w:tcPr>
            <w:tcW w:type="dxa" w:w="18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48 hours</w:t>
            </w:r>
          </w:p>
        </w:tc>
      </w:tr>
      <w:tr>
        <w:tblPrEx>
          <w:shd w:val="clear" w:color="auto" w:fill="ced7e7"/>
        </w:tblPrEx>
        <w:trPr>
          <w:trHeight w:val="5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24</w:t>
            </w:r>
            <w:r>
              <w:rPr>
                <w:shd w:val="nil" w:color="auto" w:fill="auto"/>
                <w:vertAlign w:val="superscript"/>
                <w:rtl w:val="0"/>
                <w:lang w:val="en-US"/>
              </w:rPr>
              <w:t>th</w:t>
            </w:r>
            <w:r>
              <w:rPr>
                <w:shd w:val="nil" w:color="auto" w:fill="auto"/>
                <w:rtl w:val="0"/>
                <w:lang w:val="en-US"/>
              </w:rPr>
              <w:t xml:space="preserve"> to 29</w:t>
            </w:r>
            <w:r>
              <w:rPr>
                <w:shd w:val="nil" w:color="auto" w:fill="auto"/>
                <w:vertAlign w:val="superscript"/>
                <w:rtl w:val="0"/>
                <w:lang w:val="en-US"/>
              </w:rPr>
              <w:t>th</w:t>
            </w:r>
            <w:r>
              <w:rPr>
                <w:shd w:val="nil" w:color="auto" w:fill="auto"/>
                <w:rtl w:val="0"/>
                <w:lang w:val="en-US"/>
              </w:rPr>
              <w:t xml:space="preserve"> meeting</w:t>
            </w:r>
          </w:p>
        </w:tc>
        <w:tc>
          <w:tcPr>
            <w:tcW w:type="dxa" w:w="5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Cosmological houses and the developmental, psychological dimensions of everyday life</w:t>
            </w:r>
          </w:p>
        </w:tc>
        <w:tc>
          <w:tcPr>
            <w:tcW w:type="dxa" w:w="18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24 hours</w:t>
            </w:r>
          </w:p>
        </w:tc>
      </w:tr>
      <w:tr>
        <w:tblPrEx>
          <w:shd w:val="clear" w:color="auto" w:fill="ced7e7"/>
        </w:tblPrEx>
        <w:trPr>
          <w:trHeight w:val="5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30</w:t>
            </w:r>
            <w:r>
              <w:rPr>
                <w:shd w:val="nil" w:color="auto" w:fill="auto"/>
                <w:vertAlign w:val="superscript"/>
                <w:rtl w:val="0"/>
                <w:lang w:val="en-US"/>
              </w:rPr>
              <w:t>th</w:t>
            </w:r>
            <w:r>
              <w:rPr>
                <w:shd w:val="nil" w:color="auto" w:fill="auto"/>
                <w:rtl w:val="0"/>
                <w:lang w:val="en-US"/>
              </w:rPr>
              <w:t xml:space="preserve"> to 37</w:t>
            </w:r>
            <w:r>
              <w:rPr>
                <w:shd w:val="nil" w:color="auto" w:fill="auto"/>
                <w:vertAlign w:val="superscript"/>
                <w:rtl w:val="0"/>
                <w:lang w:val="en-US"/>
              </w:rPr>
              <w:t xml:space="preserve">th </w:t>
            </w:r>
            <w:r>
              <w:rPr>
                <w:shd w:val="nil" w:color="auto" w:fill="auto"/>
                <w:rtl w:val="0"/>
                <w:lang w:val="en-US"/>
              </w:rPr>
              <w:t>meeting</w:t>
            </w:r>
          </w:p>
        </w:tc>
        <w:tc>
          <w:tcPr>
            <w:tcW w:type="dxa" w:w="5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Cosmological aspects and specific personal and spiritual psychodynamics of an individual</w:t>
            </w:r>
          </w:p>
        </w:tc>
        <w:tc>
          <w:tcPr>
            <w:tcW w:type="dxa" w:w="18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 xml:space="preserve">32 hours                                            </w:t>
            </w:r>
          </w:p>
        </w:tc>
      </w:tr>
      <w:tr>
        <w:tblPrEx>
          <w:shd w:val="clear" w:color="auto" w:fill="ced7e7"/>
        </w:tblPrEx>
        <w:trPr>
          <w:trHeight w:val="5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38</w:t>
            </w:r>
            <w:r>
              <w:rPr>
                <w:shd w:val="nil" w:color="auto" w:fill="auto"/>
                <w:vertAlign w:val="superscript"/>
                <w:rtl w:val="0"/>
                <w:lang w:val="en-US"/>
              </w:rPr>
              <w:t>th</w:t>
            </w:r>
            <w:r>
              <w:rPr>
                <w:shd w:val="nil" w:color="auto" w:fill="auto"/>
                <w:rtl w:val="0"/>
                <w:lang w:val="en-US"/>
              </w:rPr>
              <w:t xml:space="preserve"> meeting</w:t>
            </w:r>
          </w:p>
        </w:tc>
        <w:tc>
          <w:tcPr>
            <w:tcW w:type="dxa" w:w="5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Large configurations and the dimensions of individuation I</w:t>
            </w:r>
          </w:p>
        </w:tc>
        <w:tc>
          <w:tcPr>
            <w:tcW w:type="dxa" w:w="18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 xml:space="preserve">4 hours </w:t>
            </w:r>
            <w:r>
              <w:rPr>
                <w:shd w:val="nil" w:color="auto" w:fill="auto"/>
              </w:rPr>
            </w:r>
          </w:p>
        </w:tc>
      </w:tr>
      <w:tr>
        <w:tblPrEx>
          <w:shd w:val="clear" w:color="auto" w:fill="ced7e7"/>
        </w:tblPrEx>
        <w:trPr>
          <w:trHeight w:val="5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39</w:t>
            </w:r>
            <w:r>
              <w:rPr>
                <w:shd w:val="nil" w:color="auto" w:fill="auto"/>
                <w:vertAlign w:val="superscript"/>
                <w:rtl w:val="0"/>
                <w:lang w:val="en-US"/>
              </w:rPr>
              <w:t>th</w:t>
            </w:r>
            <w:r>
              <w:rPr>
                <w:shd w:val="nil" w:color="auto" w:fill="auto"/>
                <w:rtl w:val="0"/>
                <w:lang w:val="en-US"/>
              </w:rPr>
              <w:t xml:space="preserve"> meeting</w:t>
            </w:r>
          </w:p>
        </w:tc>
        <w:tc>
          <w:tcPr>
            <w:tcW w:type="dxa" w:w="5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The cosmogram forms, lunar types and lunar nodes: The dimensions of individuation II</w:t>
            </w:r>
          </w:p>
        </w:tc>
        <w:tc>
          <w:tcPr>
            <w:tcW w:type="dxa" w:w="18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 xml:space="preserve">4 hours </w:t>
            </w:r>
          </w:p>
        </w:tc>
      </w:tr>
      <w:tr>
        <w:tblPrEx>
          <w:shd w:val="clear" w:color="auto" w:fill="ced7e7"/>
        </w:tblPrEx>
        <w:trPr>
          <w:trHeight w:val="2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40</w:t>
            </w:r>
            <w:r>
              <w:rPr>
                <w:shd w:val="nil" w:color="auto" w:fill="auto"/>
                <w:vertAlign w:val="superscript"/>
                <w:rtl w:val="0"/>
                <w:lang w:val="en-US"/>
              </w:rPr>
              <w:t>th</w:t>
            </w:r>
            <w:r>
              <w:rPr>
                <w:shd w:val="nil" w:color="auto" w:fill="auto"/>
                <w:rtl w:val="0"/>
                <w:lang w:val="en-US"/>
              </w:rPr>
              <w:t xml:space="preserve"> meeting</w:t>
            </w:r>
          </w:p>
        </w:tc>
        <w:tc>
          <w:tcPr>
            <w:tcW w:type="dxa" w:w="5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 xml:space="preserve">Typology in </w:t>
            </w:r>
            <w:r>
              <w:rPr>
                <w:shd w:val="nil" w:color="auto" w:fill="auto"/>
                <w:rtl w:val="0"/>
                <w:lang w:val="en-US"/>
              </w:rPr>
              <w:t>symbolic cosmology</w:t>
            </w:r>
          </w:p>
        </w:tc>
        <w:tc>
          <w:tcPr>
            <w:tcW w:type="dxa" w:w="18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4 hours</w:t>
            </w:r>
          </w:p>
        </w:tc>
      </w:tr>
      <w:tr>
        <w:tblPrEx>
          <w:shd w:val="clear" w:color="auto" w:fill="ced7e7"/>
        </w:tblPrEx>
        <w:trPr>
          <w:trHeight w:val="2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41</w:t>
            </w:r>
            <w:r>
              <w:rPr>
                <w:shd w:val="nil" w:color="auto" w:fill="auto"/>
                <w:vertAlign w:val="superscript"/>
                <w:rtl w:val="0"/>
                <w:lang w:val="en-US"/>
              </w:rPr>
              <w:t>st</w:t>
            </w:r>
            <w:r>
              <w:rPr>
                <w:shd w:val="nil" w:color="auto" w:fill="auto"/>
                <w:rtl w:val="0"/>
                <w:lang w:val="en-US"/>
              </w:rPr>
              <w:t xml:space="preserve"> meeting</w:t>
            </w:r>
          </w:p>
        </w:tc>
        <w:tc>
          <w:tcPr>
            <w:tcW w:type="dxa" w:w="5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Astronomy and birth chart calculation</w:t>
            </w:r>
          </w:p>
        </w:tc>
        <w:tc>
          <w:tcPr>
            <w:tcW w:type="dxa" w:w="18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4 hours</w:t>
            </w:r>
          </w:p>
        </w:tc>
      </w:tr>
      <w:tr>
        <w:tblPrEx>
          <w:shd w:val="clear" w:color="auto" w:fill="ced7e7"/>
        </w:tblPrEx>
        <w:trPr>
          <w:trHeight w:val="5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42</w:t>
            </w:r>
            <w:r>
              <w:rPr>
                <w:shd w:val="nil" w:color="auto" w:fill="auto"/>
                <w:vertAlign w:val="superscript"/>
                <w:rtl w:val="0"/>
                <w:lang w:val="en-US"/>
              </w:rPr>
              <w:t>nd</w:t>
            </w:r>
            <w:r>
              <w:rPr>
                <w:shd w:val="nil" w:color="auto" w:fill="auto"/>
                <w:rtl w:val="0"/>
                <w:lang w:val="en-US"/>
              </w:rPr>
              <w:t xml:space="preserve"> meeting</w:t>
            </w:r>
          </w:p>
        </w:tc>
        <w:tc>
          <w:tcPr>
            <w:tcW w:type="dxa" w:w="5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 xml:space="preserve">The analysis sheet </w:t>
            </w:r>
            <w:r>
              <w:rPr>
                <w:shd w:val="nil" w:color="auto" w:fill="auto"/>
                <w:rtl w:val="0"/>
                <w:lang w:val="en-US"/>
              </w:rPr>
              <w:t xml:space="preserve">– </w:t>
            </w:r>
            <w:r>
              <w:rPr>
                <w:shd w:val="nil" w:color="auto" w:fill="auto"/>
                <w:rtl w:val="0"/>
                <w:lang w:val="en-US"/>
              </w:rPr>
              <w:t>the basis for cosmogram interpretation</w:t>
            </w:r>
          </w:p>
        </w:tc>
        <w:tc>
          <w:tcPr>
            <w:tcW w:type="dxa" w:w="18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4 hours</w:t>
            </w:r>
          </w:p>
        </w:tc>
      </w:tr>
      <w:tr>
        <w:tblPrEx>
          <w:shd w:val="clear" w:color="auto" w:fill="ced7e7"/>
        </w:tblPrEx>
        <w:trPr>
          <w:trHeight w:val="2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43</w:t>
            </w:r>
            <w:r>
              <w:rPr>
                <w:shd w:val="nil" w:color="auto" w:fill="auto"/>
                <w:vertAlign w:val="superscript"/>
                <w:rtl w:val="0"/>
                <w:lang w:val="en-US"/>
              </w:rPr>
              <w:t>rd</w:t>
            </w:r>
            <w:r>
              <w:rPr>
                <w:shd w:val="nil" w:color="auto" w:fill="auto"/>
                <w:rtl w:val="0"/>
                <w:lang w:val="en-US"/>
              </w:rPr>
              <w:t xml:space="preserve"> meeting</w:t>
            </w:r>
          </w:p>
        </w:tc>
        <w:tc>
          <w:tcPr>
            <w:tcW w:type="dxa" w:w="5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Examples of exam papers</w:t>
            </w:r>
          </w:p>
        </w:tc>
        <w:tc>
          <w:tcPr>
            <w:tcW w:type="dxa" w:w="18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4 hours</w:t>
            </w:r>
          </w:p>
        </w:tc>
      </w:tr>
      <w:tr>
        <w:tblPrEx>
          <w:shd w:val="clear" w:color="auto" w:fill="ced7e7"/>
        </w:tblPrEx>
        <w:trPr>
          <w:trHeight w:val="5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44</w:t>
            </w:r>
            <w:r>
              <w:rPr>
                <w:shd w:val="nil" w:color="auto" w:fill="auto"/>
                <w:vertAlign w:val="superscript"/>
                <w:rtl w:val="0"/>
                <w:lang w:val="en-US"/>
              </w:rPr>
              <w:t>th</w:t>
            </w:r>
            <w:r>
              <w:rPr>
                <w:shd w:val="nil" w:color="auto" w:fill="auto"/>
                <w:rtl w:val="0"/>
                <w:lang w:val="en-US"/>
              </w:rPr>
              <w:t xml:space="preserve"> to 47</w:t>
            </w:r>
            <w:r>
              <w:rPr>
                <w:shd w:val="nil" w:color="auto" w:fill="auto"/>
                <w:vertAlign w:val="superscript"/>
                <w:rtl w:val="0"/>
                <w:lang w:val="en-US"/>
              </w:rPr>
              <w:t>th</w:t>
            </w:r>
            <w:r>
              <w:rPr>
                <w:shd w:val="nil" w:color="auto" w:fill="auto"/>
                <w:rtl w:val="0"/>
                <w:lang w:val="en-US"/>
              </w:rPr>
              <w:t xml:space="preserve"> meeting</w:t>
            </w:r>
          </w:p>
        </w:tc>
        <w:tc>
          <w:tcPr>
            <w:tcW w:type="dxa" w:w="5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Navaden"/>
              <w:ind w:left="2" w:firstLine="0"/>
            </w:pPr>
            <w:r>
              <w:rPr>
                <w:shd w:val="nil" w:color="auto" w:fill="auto"/>
                <w:rtl w:val="0"/>
                <w:lang w:val="en-US"/>
              </w:rPr>
              <w:t>Planetary transits, life transitions and the developmental challenges of individuation</w:t>
            </w:r>
          </w:p>
        </w:tc>
        <w:tc>
          <w:tcPr>
            <w:tcW w:type="dxa" w:w="18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16 hours</w:t>
            </w:r>
          </w:p>
        </w:tc>
      </w:tr>
      <w:tr>
        <w:tblPrEx>
          <w:shd w:val="clear" w:color="auto" w:fill="ced7e7"/>
        </w:tblPrEx>
        <w:trPr>
          <w:trHeight w:val="2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48</w:t>
            </w:r>
            <w:r>
              <w:rPr>
                <w:shd w:val="nil" w:color="auto" w:fill="auto"/>
                <w:vertAlign w:val="superscript"/>
                <w:rtl w:val="0"/>
                <w:lang w:val="en-US"/>
              </w:rPr>
              <w:t>th</w:t>
            </w:r>
            <w:r>
              <w:rPr>
                <w:shd w:val="nil" w:color="auto" w:fill="auto"/>
                <w:rtl w:val="0"/>
                <w:lang w:val="en-US"/>
              </w:rPr>
              <w:t xml:space="preserve"> to 50</w:t>
            </w:r>
            <w:r>
              <w:rPr>
                <w:shd w:val="nil" w:color="auto" w:fill="auto"/>
                <w:vertAlign w:val="superscript"/>
                <w:rtl w:val="0"/>
                <w:lang w:val="en-US"/>
              </w:rPr>
              <w:t>th</w:t>
            </w:r>
            <w:r>
              <w:rPr>
                <w:shd w:val="nil" w:color="auto" w:fill="auto"/>
                <w:rtl w:val="0"/>
                <w:lang w:val="en-US"/>
              </w:rPr>
              <w:t xml:space="preserve"> meeting</w:t>
            </w:r>
          </w:p>
        </w:tc>
        <w:tc>
          <w:tcPr>
            <w:tcW w:type="dxa" w:w="5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Progressions, life stages and personal development</w:t>
            </w:r>
          </w:p>
        </w:tc>
        <w:tc>
          <w:tcPr>
            <w:tcW w:type="dxa" w:w="18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12 hours</w:t>
            </w:r>
          </w:p>
        </w:tc>
      </w:tr>
      <w:tr>
        <w:tblPrEx>
          <w:shd w:val="clear" w:color="auto" w:fill="ced7e7"/>
        </w:tblPrEx>
        <w:trPr>
          <w:trHeight w:val="2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Exams</w:t>
            </w:r>
          </w:p>
        </w:tc>
        <w:tc>
          <w:tcPr>
            <w:tcW w:type="dxa" w:w="5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Usually held within the framework of regular meetings</w:t>
            </w:r>
          </w:p>
        </w:tc>
        <w:tc>
          <w:tcPr>
            <w:tcW w:type="dxa" w:w="18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 xml:space="preserve">50 meetings in total***                                                                                                           </w:t>
            </w:r>
          </w:p>
        </w:tc>
        <w:tc>
          <w:tcPr>
            <w:tcW w:type="dxa" w:w="5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200 hours</w:t>
            </w:r>
          </w:p>
        </w:tc>
      </w:tr>
      <w:tr>
        <w:tblPrEx>
          <w:shd w:val="clear" w:color="auto" w:fill="ced7e7"/>
        </w:tblPrEx>
        <w:trPr>
          <w:trHeight w:val="5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Additional requirements</w:t>
            </w:r>
          </w:p>
        </w:tc>
        <w:tc>
          <w:tcPr>
            <w:tcW w:type="dxa" w:w="5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8"/>
              <w:bottom w:type="dxa" w:w="80"/>
              <w:right w:type="dxa" w:w="80"/>
            </w:tcMar>
            <w:vAlign w:val="top"/>
          </w:tcPr>
          <w:p>
            <w:pPr>
              <w:pStyle w:val="Navaden"/>
              <w:ind w:left="38" w:firstLine="0"/>
            </w:pPr>
            <w:r>
              <w:rPr>
                <w:shd w:val="nil" w:color="auto" w:fill="auto"/>
                <w:rtl w:val="0"/>
                <w:lang w:val="en-US"/>
              </w:rPr>
              <w:t>Participation in at least 4 full-day IPAL seminars of your choice</w:t>
            </w:r>
          </w:p>
        </w:tc>
        <w:tc>
          <w:tcPr>
            <w:tcW w:type="dxa" w:w="18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avaden"/>
            </w:pPr>
            <w:r>
              <w:rPr>
                <w:shd w:val="nil" w:color="auto" w:fill="auto"/>
                <w:rtl w:val="0"/>
                <w:lang w:val="en-US"/>
              </w:rPr>
              <w:t>Additional requirements</w:t>
            </w:r>
          </w:p>
        </w:tc>
        <w:tc>
          <w:tcPr>
            <w:tcW w:type="dxa" w:w="5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8"/>
              <w:bottom w:type="dxa" w:w="80"/>
              <w:right w:type="dxa" w:w="80"/>
            </w:tcMar>
            <w:vAlign w:val="top"/>
          </w:tcPr>
          <w:p>
            <w:pPr>
              <w:pStyle w:val="Navaden"/>
              <w:ind w:left="38" w:firstLine="0"/>
            </w:pPr>
            <w:r>
              <w:rPr>
                <w:shd w:val="nil" w:color="auto" w:fill="auto"/>
                <w:rtl w:val="0"/>
                <w:lang w:val="en-US"/>
              </w:rPr>
              <w:t>2 in-person meetings of the group (meetings involving physical attendance)</w:t>
            </w:r>
          </w:p>
        </w:tc>
        <w:tc>
          <w:tcPr>
            <w:tcW w:type="dxa" w:w="18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avaden"/>
        <w:widowControl w:val="0"/>
        <w:rPr>
          <w:lang w:val="en-US"/>
        </w:rPr>
      </w:pPr>
    </w:p>
    <w:p>
      <w:pPr>
        <w:pStyle w:val="Navaden"/>
        <w:rPr>
          <w:sz w:val="8"/>
          <w:szCs w:val="8"/>
          <w:lang w:val="en-US"/>
        </w:rPr>
      </w:pPr>
    </w:p>
    <w:p>
      <w:pPr>
        <w:pStyle w:val="Navaden"/>
        <w:rPr>
          <w:sz w:val="18"/>
          <w:szCs w:val="18"/>
          <w:lang w:val="en-US"/>
        </w:rPr>
      </w:pPr>
    </w:p>
    <w:p>
      <w:pPr>
        <w:pStyle w:val="Navaden"/>
        <w:rPr>
          <w:lang w:val="en-US"/>
        </w:rPr>
      </w:pPr>
      <w:r>
        <w:rPr>
          <w:rtl w:val="0"/>
          <w:lang w:val="en-US"/>
        </w:rPr>
        <w:t>*The IPAL method centres around comprehensive work on oneself, followed by a theoretical presentation of each topic. The method includes active imagination, psychoanalysis, symbolic cosmology, and dream analysis. The individual work with each person within a group, which is based on his or her psychic material (conscious and unconscious), is grounded by using psychoanalytic techniques in connection to everyday life. The material obtained in this way is then placed in a cosmogram, allowing us to extract meaning from it. The process is completed by the practical application of this material in everyday life, through personal action.</w:t>
      </w:r>
    </w:p>
    <w:p>
      <w:pPr>
        <w:pStyle w:val="Navaden"/>
        <w:rPr>
          <w:lang w:val="en-US"/>
        </w:rPr>
      </w:pPr>
    </w:p>
    <w:p>
      <w:pPr>
        <w:pStyle w:val="Navaden"/>
        <w:rPr>
          <w:lang w:val="en-US"/>
        </w:rPr>
      </w:pPr>
      <w:r>
        <w:rPr>
          <w:rtl w:val="0"/>
          <w:lang w:val="en-US"/>
        </w:rPr>
        <w:t>**The meetings consist of approximately 4 x 45-minute hours, but can vary in length depending on the size of the group.</w:t>
      </w:r>
    </w:p>
    <w:p>
      <w:pPr>
        <w:pStyle w:val="Navaden"/>
        <w:rPr>
          <w:lang w:val="en-US"/>
        </w:rPr>
      </w:pPr>
    </w:p>
    <w:p>
      <w:pPr>
        <w:pStyle w:val="Navaden"/>
        <w:rPr>
          <w:lang w:val="en-US"/>
        </w:rPr>
      </w:pPr>
      <w:r>
        <w:rPr>
          <w:rtl w:val="0"/>
          <w:lang w:val="en-US"/>
        </w:rPr>
        <w:t>***Minor changes to the programme in some meetings are possible following agreement with the participants of the introductory group.</w:t>
      </w:r>
    </w:p>
    <w:p>
      <w:pPr>
        <w:pStyle w:val="Navaden"/>
        <w:rPr>
          <w:lang w:val="en-US"/>
        </w:rPr>
      </w:pPr>
    </w:p>
    <w:p>
      <w:pPr>
        <w:pStyle w:val="Navaden"/>
      </w:pPr>
      <w:r>
        <w:rPr>
          <w:rtl w:val="0"/>
          <w:lang w:val="en-US"/>
        </w:rPr>
        <w:t xml:space="preserve">The work in the introductory group concludes with an exam, i.e., an independent interpretation of a natal cosmogram of a third person. Participants then receive an attestation of passing the exam </w:t>
      </w:r>
      <w:r>
        <w:rPr>
          <w:rtl w:val="0"/>
        </w:rPr>
        <w:t xml:space="preserve">for </w:t>
      </w:r>
      <w:r>
        <w:rPr>
          <w:rtl w:val="0"/>
          <w:lang w:val="en-US"/>
        </w:rPr>
        <w:t>the introductory group.</w:t>
      </w:r>
    </w:p>
    <w:sectPr>
      <w:headerReference w:type="default" r:id="rId5"/>
      <w:footerReference w:type="default" r:id="rId6"/>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09"/>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avaden">
    <w:name w:val="Navaden"/>
    <w:next w:val="Navaden"/>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